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48" w:rsidRDefault="00753B6C" w:rsidP="002F6A48">
      <w:pPr>
        <w:pStyle w:val="22"/>
        <w:keepNext/>
        <w:keepLines/>
        <w:shd w:val="clear" w:color="auto" w:fill="auto"/>
        <w:spacing w:line="240" w:lineRule="auto"/>
        <w:ind w:left="1260"/>
        <w:rPr>
          <w:rFonts w:ascii="Times New Roman" w:hAnsi="Times New Roman" w:cs="Times New Roman"/>
          <w:sz w:val="22"/>
          <w:szCs w:val="22"/>
        </w:rPr>
      </w:pPr>
      <w:r w:rsidRPr="002F6A48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bookmark3"/>
    </w:p>
    <w:p w:rsidR="003F31C1" w:rsidRPr="002F6A48" w:rsidRDefault="00753B6C" w:rsidP="002F6A48">
      <w:pPr>
        <w:pStyle w:val="22"/>
        <w:keepNext/>
        <w:keepLines/>
        <w:shd w:val="clear" w:color="auto" w:fill="auto"/>
        <w:spacing w:line="240" w:lineRule="auto"/>
        <w:ind w:left="1260"/>
        <w:rPr>
          <w:rFonts w:ascii="Times New Roman" w:hAnsi="Times New Roman" w:cs="Times New Roman"/>
          <w:sz w:val="22"/>
          <w:szCs w:val="22"/>
        </w:rPr>
      </w:pPr>
      <w:r w:rsidRPr="002F6A48">
        <w:rPr>
          <w:rFonts w:ascii="Times New Roman" w:hAnsi="Times New Roman" w:cs="Times New Roman"/>
          <w:sz w:val="22"/>
          <w:szCs w:val="22"/>
        </w:rPr>
        <w:t>ПРИЗНАКИ ДОХОДОВ ДЛЯ ЗАПОЛНЕНИЯ Ф. № 1ДФ</w:t>
      </w:r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4"/>
        <w:gridCol w:w="8131"/>
        <w:gridCol w:w="922"/>
        <w:gridCol w:w="941"/>
      </w:tblGrid>
      <w:tr w:rsidR="003F31C1" w:rsidRPr="002F6A48" w:rsidTr="002F6A48">
        <w:trPr>
          <w:trHeight w:val="456"/>
          <w:jc w:val="center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8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4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Вид выплаты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firstLine="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Признак дохода по выплате:</w:t>
            </w:r>
          </w:p>
        </w:tc>
      </w:tr>
      <w:tr w:rsidR="003F31C1" w:rsidRPr="002F6A48" w:rsidTr="002F6A48">
        <w:trPr>
          <w:trHeight w:val="624"/>
          <w:jc w:val="center"/>
        </w:trPr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firstLine="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облагаемой налогом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firstLine="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</w:p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firstLine="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облагаемой налогом</w:t>
            </w:r>
          </w:p>
        </w:tc>
      </w:tr>
      <w:tr w:rsidR="003F31C1" w:rsidRPr="002F6A48" w:rsidTr="002F6A48">
        <w:trPr>
          <w:trHeight w:val="240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8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F31C1" w:rsidRPr="002F6A48" w:rsidTr="002F6A48">
        <w:trPr>
          <w:trHeight w:val="259"/>
          <w:jc w:val="center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Доходы в виде заработной платы</w:t>
            </w:r>
            <w:r w:rsidRPr="002F6A48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 xml:space="preserve"> (пл. 1642.1 НКУ)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(включая выплаты совместителям), в том числе: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2"/>
                <w:szCs w:val="22"/>
              </w:rPr>
            </w:pPr>
            <w:r w:rsidRPr="002F6A48">
              <w:rPr>
                <w:sz w:val="22"/>
                <w:szCs w:val="22"/>
              </w:rPr>
              <w:t>-</w:t>
            </w:r>
          </w:p>
        </w:tc>
      </w:tr>
      <w:tr w:rsidR="003F31C1" w:rsidRPr="002F6A48" w:rsidTr="002F6A48">
        <w:trPr>
          <w:trHeight w:val="475"/>
          <w:jc w:val="center"/>
        </w:trPr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все выплаты, входящие в фонд оплаты труда согласно</w:t>
            </w:r>
            <w:r w:rsidRPr="002F6A48">
              <w:rPr>
                <w:rStyle w:val="a7"/>
                <w:rFonts w:ascii="Times New Roman" w:hAnsi="Times New Roman" w:cs="Times New Roman"/>
                <w:sz w:val="22"/>
                <w:szCs w:val="22"/>
              </w:rPr>
              <w:t xml:space="preserve"> Инструкции № 5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(за некоторыми исключениями, когда для таких доходов предусмотрен свой признак)</w:t>
            </w: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31C1" w:rsidRPr="002F6A48" w:rsidTr="002F6A48">
        <w:trPr>
          <w:trHeight w:val="470"/>
          <w:jc w:val="center"/>
        </w:trPr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«обычные» больничные, выплачиваемые как за счет работодателя, так и за счет Фонда соцстрахования</w:t>
            </w: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31C1" w:rsidRPr="002F6A48" w:rsidTr="002F6A48">
        <w:trPr>
          <w:trHeight w:val="470"/>
          <w:jc w:val="center"/>
        </w:trPr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суммы, начисленные работнику за время задержки расчетов при увольнении, компенсационные выплаты (предусмотренные действующим законодательством и по решению суда)</w:t>
            </w: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31C1" w:rsidRPr="002F6A48" w:rsidTr="002F6A48">
        <w:trPr>
          <w:trHeight w:val="686"/>
          <w:jc w:val="center"/>
        </w:trPr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материальная помощь работникам согласно требованиям коллективного договора или материальная помощь, имеющая систематический характер и предоставляемая всем или большинству работников на оздоровление</w:t>
            </w: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31C1" w:rsidRPr="002F6A48" w:rsidTr="002F6A48">
        <w:trPr>
          <w:trHeight w:val="254"/>
          <w:jc w:val="center"/>
        </w:trPr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стоимость путевки, предоставленной работнику за счет средств предприятия</w:t>
            </w: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31C1" w:rsidRPr="002F6A48" w:rsidTr="002F6A48">
        <w:trPr>
          <w:trHeight w:val="922"/>
          <w:jc w:val="center"/>
        </w:trPr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753B6C" w:rsidP="002F6A4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суммы денежного вознаграждения и других выплат, полученных военнослужащими и лицами рядового и начальствующего состава (в том числе откомандированными в органы исполнительной власти и другие гражданские учреждения) органов внутренних дел, органов и учреждений исполнения наказаний, налоговой милиции в связи с выполнением обязанностей несения службы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1C1" w:rsidRPr="002F6A48" w:rsidRDefault="003F31C1" w:rsidP="002F6A4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pPr w:leftFromText="180" w:rightFromText="180" w:horzAnchor="margin" w:tblpY="485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89"/>
        <w:gridCol w:w="8116"/>
        <w:gridCol w:w="992"/>
        <w:gridCol w:w="955"/>
      </w:tblGrid>
      <w:tr w:rsidR="00B059CE" w:rsidRPr="002F6A48" w:rsidTr="006C3C93">
        <w:trPr>
          <w:trHeight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380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B059CE" w:rsidRPr="002F6A48" w:rsidTr="006C3C93">
        <w:trPr>
          <w:trHeight w:val="1310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9pt"/>
                <w:rFonts w:ascii="Times New Roman" w:hAnsi="Times New Roman" w:cs="Times New Roman"/>
                <w:sz w:val="22"/>
                <w:szCs w:val="22"/>
              </w:rPr>
              <w:t>— имущество, предоставленное работодателем безвозмездно или во временное пользование в рамках закона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(стоимость бесплатного лечебно-профилактического питания и другого имущества, которыми работодатель обеспечивает налогоплательщика в соответствии с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 xml:space="preserve"> Законом Украины «Об охране труда» от 14.10.92 г. 1\1°2694-ХН,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специальной (форменной) одежды и обуви, предоставляемой работодателем во временное пользование налогоплательщику, который находится с ним в трудовых отношениях)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 xml:space="preserve"> (п.п. 165.1.9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</w:tr>
      <w:tr w:rsidR="00B059CE" w:rsidRPr="002F6A48" w:rsidTr="006C3C93">
        <w:trPr>
          <w:trHeight w:val="365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На наш взгляд, стоимость спецодежды, спецобуви, не возвращенной работником при увольнении и не возмещенной работником при проведении окончательного расчета, следует считать дополнительным благом от работодателя.</w:t>
            </w:r>
          </w:p>
        </w:tc>
      </w:tr>
      <w:tr w:rsidR="00B059CE" w:rsidRPr="002F6A48" w:rsidTr="006C3C93">
        <w:trPr>
          <w:trHeight w:val="245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9pt"/>
                <w:rFonts w:ascii="Times New Roman" w:hAnsi="Times New Roman" w:cs="Times New Roman"/>
                <w:sz w:val="22"/>
                <w:szCs w:val="22"/>
              </w:rPr>
              <w:t>— помощь на погребение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родственника работника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01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</w:t>
            </w:r>
          </w:p>
        </w:tc>
      </w:tr>
      <w:tr w:rsidR="00B059CE" w:rsidRPr="002F6A48" w:rsidTr="006C3C93">
        <w:trPr>
          <w:trHeight w:val="235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9pt"/>
                <w:rFonts w:ascii="Times New Roman" w:hAnsi="Times New Roman" w:cs="Times New Roman"/>
                <w:sz w:val="22"/>
                <w:szCs w:val="22"/>
              </w:rPr>
              <w:t>— помощь на погребение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умершего работника по его последнему месту работы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 xml:space="preserve"> (п.п. 165.1.22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146</w:t>
            </w:r>
          </w:p>
        </w:tc>
      </w:tr>
      <w:tr w:rsidR="00B059CE" w:rsidRPr="002F6A48" w:rsidTr="006C3C93">
        <w:trPr>
          <w:trHeight w:val="792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Не облагается налогом помощь, выплачиваемая работодателем на погребение умершего работника (в том числе по последнему месту работы перед выходом на пенсию) в двойном размере суммы, дающей право на НСЛ (в 2011 году — 2640 грн.). Считаем, что в данном случае помощь предоставляется родственнику умершего работника, поэтому в ф. N° 1ДФ нужно приводить ИНН фактического получателя такой помощи (т. е. родственника).</w:t>
            </w:r>
          </w:p>
        </w:tc>
      </w:tr>
      <w:tr w:rsidR="00B059CE" w:rsidRPr="002F6A48" w:rsidTr="006C3C93">
        <w:trPr>
          <w:trHeight w:val="451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9pt"/>
                <w:rFonts w:ascii="Times New Roman" w:hAnsi="Times New Roman" w:cs="Times New Roman"/>
                <w:sz w:val="22"/>
                <w:szCs w:val="22"/>
              </w:rPr>
              <w:t>— стоимость угля и угольных брикетов,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безвозмездно предоставленных налогоплательщику в объемах и по перечню профессий, которые устанавливаются КМУ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 xml:space="preserve"> (п.п. 165.1.20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80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</w:tr>
      <w:tr w:rsidR="00B059CE" w:rsidRPr="002F6A48" w:rsidTr="006C3C93">
        <w:trPr>
          <w:trHeight w:val="240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суточные сверх установленных норм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9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</w:t>
            </w:r>
          </w:p>
        </w:tc>
      </w:tr>
      <w:tr w:rsidR="00B059CE" w:rsidRPr="002F6A48" w:rsidTr="006C3C93">
        <w:trPr>
          <w:trHeight w:val="667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стоимость использования жилья, других объектов материального или нематериального имущества,</w:t>
            </w:r>
          </w:p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предоставленных налогоплательщику в безвозмездное пользование, либо компенсации стоимости такого использования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 xml:space="preserve"> (абз. «а» п.п. 164.2.17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</w:tr>
      <w:tr w:rsidR="00B059CE" w:rsidRPr="002F6A48" w:rsidTr="006C3C93">
        <w:trPr>
          <w:trHeight w:val="600"/>
        </w:trPr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НДФЛ не будет, если такое предоставление или компенсация обусловлены выполнением налогоплательщиком трудовой функции согласно трудовому договору (контракту) или предусмотрены коллективным договором или в соответствии с законом в установленных ими рамках.</w:t>
            </w:r>
          </w:p>
        </w:tc>
      </w:tr>
      <w:tr w:rsidR="00B059CE" w:rsidRPr="002F6A48" w:rsidTr="006C3C93">
        <w:trPr>
          <w:trHeight w:val="66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9pt"/>
                <w:rFonts w:ascii="Times New Roman" w:hAnsi="Times New Roman" w:cs="Times New Roman"/>
                <w:sz w:val="22"/>
                <w:szCs w:val="22"/>
              </w:rPr>
              <w:t>Средства, полученные налогоплательщиком на командировку или под отчет,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в том числе излишне израсходованные и не возвращенные в установленные законодательством сроки (/7/7.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>164.2.11, 165.1.11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7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—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</w:p>
        </w:tc>
      </w:tr>
      <w:tr w:rsidR="00B059CE" w:rsidRPr="002F6A48" w:rsidTr="006C3C93">
        <w:trPr>
          <w:trHeight w:val="600"/>
        </w:trPr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Несмотря на название строки, считаем, что в ф. N° 1ДФ необходимо отражать только несвоевременно возвращенные суммы, т. е. только те, которые подпадают под налогообложение. Похоже, с этим согласны и налоговики (см. консультацию «Вспомогательная таблица по заполнению формы № 1ДФ» // «ВНСУ», 2011, №9, с. 20).</w:t>
            </w:r>
          </w:p>
        </w:tc>
      </w:tr>
      <w:tr w:rsidR="00B059CE" w:rsidRPr="002F6A48" w:rsidTr="006C3C93">
        <w:trPr>
          <w:trHeight w:val="66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20"/>
              <w:shd w:val="clear" w:color="auto" w:fill="auto"/>
              <w:spacing w:before="0" w:line="240" w:lineRule="auto"/>
              <w:ind w:left="140"/>
            </w:pPr>
            <w:r w:rsidRPr="002F6A48">
              <w:t>10</w:t>
            </w: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9pt"/>
                <w:rFonts w:ascii="Times New Roman" w:hAnsi="Times New Roman" w:cs="Times New Roman"/>
                <w:sz w:val="22"/>
                <w:szCs w:val="22"/>
              </w:rPr>
              <w:t>Пособия и помощь за счет средств фондов соцстраха и бюджетов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(пособие по беременности и родам, помощь на погребение, новогодние подарки детям застрахованных лиц за счет Фонда соцстрахования ит. п.)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 xml:space="preserve"> (п.п. 165.1.1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7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—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128</w:t>
            </w:r>
          </w:p>
        </w:tc>
      </w:tr>
      <w:tr w:rsidR="00B059CE" w:rsidRPr="002F6A48" w:rsidTr="006C3C93">
        <w:trPr>
          <w:trHeight w:val="44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20"/>
              <w:shd w:val="clear" w:color="auto" w:fill="auto"/>
              <w:spacing w:before="0" w:line="240" w:lineRule="auto"/>
              <w:ind w:left="140"/>
            </w:pPr>
            <w:r w:rsidRPr="002F6A48">
              <w:t>11</w:t>
            </w: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9pt"/>
                <w:rFonts w:ascii="Times New Roman" w:hAnsi="Times New Roman" w:cs="Times New Roman"/>
                <w:sz w:val="22"/>
                <w:szCs w:val="22"/>
              </w:rPr>
              <w:t>Неустойки, штрафы или пеня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(доход в виде неустойки (штрафов, пени), возмещение материального или нематериального (морального) ущерба)</w:t>
            </w:r>
            <w:r w:rsidRPr="002F6A48">
              <w:rPr>
                <w:rStyle w:val="49pt0"/>
                <w:rFonts w:ascii="Times New Roman" w:hAnsi="Times New Roman" w:cs="Times New Roman"/>
                <w:sz w:val="22"/>
                <w:szCs w:val="22"/>
              </w:rPr>
              <w:t xml:space="preserve"> (п.п. 164.2.14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</w:tr>
      <w:tr w:rsidR="00B059CE" w:rsidRPr="002F6A48" w:rsidTr="006C3C93">
        <w:trPr>
          <w:trHeight w:val="216"/>
        </w:trPr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Случаи, при которых такой доход не облагается налогом, приведены в п.п. 164.2.14 НКУ.</w:t>
            </w:r>
          </w:p>
        </w:tc>
      </w:tr>
      <w:tr w:rsidR="00B059CE" w:rsidRPr="002F6A48" w:rsidTr="006C3C93">
        <w:trPr>
          <w:trHeight w:val="23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20"/>
              <w:shd w:val="clear" w:color="auto" w:fill="auto"/>
              <w:spacing w:before="0" w:line="240" w:lineRule="auto"/>
              <w:ind w:left="140"/>
            </w:pPr>
            <w:r w:rsidRPr="002F6A48">
              <w:t>12</w:t>
            </w: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2F6A48">
              <w:rPr>
                <w:rStyle w:val="61"/>
                <w:rFonts w:ascii="Times New Roman" w:hAnsi="Times New Roman" w:cs="Times New Roman"/>
                <w:sz w:val="22"/>
                <w:szCs w:val="22"/>
              </w:rPr>
              <w:t>Дивиденды</w:t>
            </w:r>
            <w:r w:rsidRPr="002F6A48">
              <w:rPr>
                <w:rStyle w:val="68pt"/>
                <w:rFonts w:ascii="Times New Roman" w:hAnsi="Times New Roman" w:cs="Times New Roman"/>
                <w:sz w:val="22"/>
                <w:szCs w:val="22"/>
              </w:rPr>
              <w:t xml:space="preserve"> (/7/7.</w:t>
            </w:r>
            <w:r w:rsidRPr="002F6A48">
              <w:rPr>
                <w:sz w:val="22"/>
                <w:szCs w:val="22"/>
              </w:rPr>
              <w:t>164.2.8,165.1.18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109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142</w:t>
            </w:r>
          </w:p>
        </w:tc>
      </w:tr>
      <w:tr w:rsidR="00B059CE" w:rsidRPr="002F6A48" w:rsidTr="006C3C93">
        <w:trPr>
          <w:trHeight w:val="23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2F6A48">
              <w:rPr>
                <w:rStyle w:val="61"/>
                <w:rFonts w:ascii="Times New Roman" w:hAnsi="Times New Roman" w:cs="Times New Roman"/>
                <w:sz w:val="22"/>
                <w:szCs w:val="22"/>
              </w:rPr>
              <w:t>Выигрыши, призы</w:t>
            </w:r>
            <w:r w:rsidRPr="002F6A48">
              <w:rPr>
                <w:sz w:val="22"/>
                <w:szCs w:val="22"/>
              </w:rPr>
              <w:t xml:space="preserve"> (пп. 164.2.8,165.1.46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</w:p>
        </w:tc>
      </w:tr>
      <w:tr w:rsidR="00B059CE" w:rsidRPr="002F6A48" w:rsidTr="006C3C93">
        <w:trPr>
          <w:trHeight w:val="792"/>
        </w:trPr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20"/>
              <w:shd w:val="clear" w:color="auto" w:fill="auto"/>
              <w:spacing w:before="0" w:line="240" w:lineRule="auto"/>
              <w:ind w:left="140"/>
            </w:pPr>
            <w:r w:rsidRPr="002F6A48">
              <w:t>13</w:t>
            </w: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Такие доходы облагаются налогом по ставке 30 % (п. 167.3 НКУ). Выигрыши или призы в государственную лотерею не облагаются налогом и отражаются в ф. N° 1ДФ с признаком дохода «166». Денежные выигрыши в спортивных соревнованиях (кроме вознаграждений спортсменам — чемпионам Украины, призерам спортивных соревнований международного уровня, в том числе спортсменам-инвалидам, определенных в п.п. «б» п.п. 165.1.1 НКУ) облагаются налогом по ставке 15 %.</w:t>
            </w:r>
          </w:p>
        </w:tc>
      </w:tr>
      <w:tr w:rsidR="00B059CE" w:rsidRPr="002F6A48" w:rsidTr="006C3C93">
        <w:trPr>
          <w:trHeight w:val="23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Прочие доходы,</w:t>
            </w:r>
            <w:r w:rsidRPr="002F6A48">
              <w:rPr>
                <w:rStyle w:val="58pt0"/>
                <w:rFonts w:ascii="Times New Roman" w:hAnsi="Times New Roman" w:cs="Times New Roman"/>
                <w:sz w:val="22"/>
                <w:szCs w:val="22"/>
              </w:rPr>
              <w:t xml:space="preserve"> в том числе:</w:t>
            </w:r>
          </w:p>
        </w:tc>
      </w:tr>
      <w:tr w:rsidR="00B059CE" w:rsidRPr="002F6A48" w:rsidTr="006C3C93">
        <w:trPr>
          <w:trHeight w:val="230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60"/>
              <w:shd w:val="clear" w:color="auto" w:fill="auto"/>
              <w:spacing w:line="240" w:lineRule="auto"/>
              <w:ind w:left="80"/>
              <w:rPr>
                <w:sz w:val="22"/>
                <w:szCs w:val="22"/>
              </w:rPr>
            </w:pPr>
            <w:r w:rsidRPr="002F6A48">
              <w:rPr>
                <w:rStyle w:val="61"/>
                <w:rFonts w:ascii="Times New Roman" w:hAnsi="Times New Roman" w:cs="Times New Roman"/>
                <w:sz w:val="22"/>
                <w:szCs w:val="22"/>
              </w:rPr>
              <w:t>— алименты</w:t>
            </w:r>
            <w:r w:rsidRPr="002F6A48">
              <w:rPr>
                <w:sz w:val="22"/>
                <w:szCs w:val="22"/>
              </w:rPr>
              <w:t xml:space="preserve"> (п.п. 165.1.14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</w:tr>
      <w:tr w:rsidR="00B059CE" w:rsidRPr="002F6A48" w:rsidTr="006C3C93">
        <w:trPr>
          <w:trHeight w:val="235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доходы от сдачи вторичного сырья и бытовых отходов</w:t>
            </w:r>
            <w:r w:rsidRPr="002F6A48">
              <w:rPr>
                <w:rStyle w:val="51"/>
                <w:rFonts w:ascii="Times New Roman" w:hAnsi="Times New Roman" w:cs="Times New Roman"/>
                <w:sz w:val="22"/>
                <w:szCs w:val="22"/>
              </w:rPr>
              <w:t xml:space="preserve"> (п.п. 165.1.25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149</w:t>
            </w:r>
          </w:p>
        </w:tc>
      </w:tr>
      <w:tr w:rsidR="00B059CE" w:rsidRPr="002F6A48" w:rsidTr="006C3C93">
        <w:trPr>
          <w:trHeight w:val="211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Налогообложению подлежат доходы от продажи лома черных и драгоценных металлов.</w:t>
            </w:r>
          </w:p>
        </w:tc>
      </w:tr>
      <w:tr w:rsidR="00B059CE" w:rsidRPr="002F6A48" w:rsidTr="006C3C93">
        <w:trPr>
          <w:trHeight w:val="230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доходы от продажи сельхозпродукции</w:t>
            </w:r>
            <w:r w:rsidRPr="002F6A48">
              <w:rPr>
                <w:rStyle w:val="51"/>
                <w:rFonts w:ascii="Times New Roman" w:hAnsi="Times New Roman" w:cs="Times New Roman"/>
                <w:sz w:val="22"/>
                <w:szCs w:val="22"/>
              </w:rPr>
              <w:t xml:space="preserve"> (п.п. 165.1.24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148</w:t>
            </w:r>
          </w:p>
        </w:tc>
      </w:tr>
      <w:tr w:rsidR="00B059CE" w:rsidRPr="002F6A48" w:rsidTr="006C3C93">
        <w:trPr>
          <w:trHeight w:val="235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гарантийная замена товаров</w:t>
            </w:r>
            <w:r w:rsidRPr="002F6A48">
              <w:rPr>
                <w:rStyle w:val="51"/>
                <w:rFonts w:ascii="Times New Roman" w:hAnsi="Times New Roman" w:cs="Times New Roman"/>
                <w:sz w:val="22"/>
                <w:szCs w:val="22"/>
              </w:rPr>
              <w:t xml:space="preserve"> (п.п. 165.1.12 НКУ)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</w:tr>
      <w:tr w:rsidR="00B059CE" w:rsidRPr="002F6A48" w:rsidTr="006C3C93">
        <w:trPr>
          <w:trHeight w:val="230"/>
        </w:trPr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20"/>
              <w:shd w:val="clear" w:color="auto" w:fill="auto"/>
              <w:spacing w:before="0" w:line="240" w:lineRule="auto"/>
              <w:ind w:left="140"/>
            </w:pPr>
            <w:r w:rsidRPr="002F6A48">
              <w:t>14</w:t>
            </w:r>
          </w:p>
        </w:tc>
        <w:tc>
          <w:tcPr>
            <w:tcW w:w="8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 выходное пособие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</w:tr>
      <w:tr w:rsidR="00B059CE" w:rsidRPr="002F6A48" w:rsidTr="006C3C93">
        <w:trPr>
          <w:trHeight w:val="1310"/>
        </w:trPr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Ранее, в период действия Закона о налоге с доходов, налоговики настаивали на том, что такая выплата является зарплатой и соответственно отражается под «зарплатным» кодом «01» (письмо от 17.04.09 г. N° 4550/5/17-0716).</w:t>
            </w:r>
          </w:p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Однако в письме от 09.03.11 г. N° 4628/6/17-0715 ГНАУ пришла к выводу, что выходное пособие не является зарплатой. Это согласуется с п. 3.8 Инструкции N° 5, в соответствии с которым суммы выходного пособия не включаются в фонд оплаты труда. По этой причине считаем, что для такой выплаты наилучшим образом подходит признак дохода «127».</w:t>
            </w:r>
          </w:p>
          <w:p w:rsidR="00B059CE" w:rsidRPr="002F6A48" w:rsidRDefault="00B059CE" w:rsidP="006C3C93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Несмотря на сменившуюся позицию на уровне писем, в консультацию «Вспомогательная таблица по заполнению формы Ш 1ДФ» // «ВНСУ», 2011, N° 9, с. 20 почему-то по-прежнему предлагается отражать выходное пособие под зарплатным кодом «101».</w:t>
            </w:r>
          </w:p>
        </w:tc>
      </w:tr>
    </w:tbl>
    <w:p w:rsidR="00953F4E" w:rsidRPr="002F6A48" w:rsidRDefault="00953F4E" w:rsidP="002F6A48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84"/>
        <w:gridCol w:w="7685"/>
        <w:gridCol w:w="926"/>
        <w:gridCol w:w="946"/>
      </w:tblGrid>
      <w:tr w:rsidR="00953F4E" w:rsidRPr="002F6A48" w:rsidTr="00953F4E">
        <w:trPr>
          <w:trHeight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3820"/>
            </w:pPr>
            <w:r w:rsidRPr="002F6A48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360"/>
            </w:pPr>
            <w:r w:rsidRPr="002F6A48"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3F4E" w:rsidRPr="002F6A48" w:rsidTr="00953F4E">
        <w:trPr>
          <w:trHeight w:val="25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>— прочие налогооблагаемые доходы,</w:t>
            </w:r>
            <w:r w:rsidRPr="002F6A48">
              <w:t xml:space="preserve"> для которых не предусмотрен специальный признак дохода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01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</w:t>
            </w:r>
          </w:p>
        </w:tc>
      </w:tr>
      <w:tr w:rsidR="00953F4E" w:rsidRPr="002F6A48" w:rsidTr="00953F4E">
        <w:trPr>
          <w:trHeight w:val="451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>— прочие не облагаемые налогом доходы,</w:t>
            </w:r>
            <w:r w:rsidRPr="002F6A48">
              <w:t xml:space="preserve"> для которых не предусмотрен свой специальный признак</w:t>
            </w:r>
          </w:p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t>дохода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</w:tr>
      <w:tr w:rsidR="00953F4E" w:rsidRPr="002F6A48" w:rsidTr="00953F4E">
        <w:trPr>
          <w:trHeight w:val="23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42"/>
                <w:rFonts w:ascii="Times New Roman" w:hAnsi="Times New Roman" w:cs="Times New Roman"/>
                <w:sz w:val="22"/>
                <w:szCs w:val="22"/>
              </w:rPr>
              <w:t>Доход от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операций с инвестиционными активами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161</w:t>
            </w:r>
          </w:p>
        </w:tc>
      </w:tr>
      <w:tr w:rsidR="00953F4E" w:rsidRPr="002F6A48" w:rsidTr="00953F4E">
        <w:trPr>
          <w:trHeight w:val="1181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15</w:t>
            </w:r>
          </w:p>
        </w:tc>
        <w:tc>
          <w:tcPr>
            <w:tcW w:w="9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Style w:val="1pt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Вф.№ 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1ДФ отражается не весь доход от операции с инвестактивами, а только прибыль, которая является объектом налогообложения. По доходам от операций с инвестактивами налоговым агентом может быть профессиональный торговец ценными бумагами, если с ним заключен договор на выполнение функций налогового агента. При этом согласно п.п. 170.2.2 НКУ торговец ценными бумагами обязан отражать такие доходы в ф. N° 1ДФдаже в том случае, если с ним не заключен договор о выполнении функций налогового агента. О том, что код «112» применяется торговцами ценными бумагами, сказано и в консультации «Вспомогательная таблица по заполнению формы N° 1ДФ» // «ВНСУ», 2011, N° 9, с. 20.</w:t>
            </w:r>
          </w:p>
        </w:tc>
      </w:tr>
      <w:tr w:rsidR="00953F4E" w:rsidRPr="002F6A48" w:rsidTr="00953F4E">
        <w:trPr>
          <w:trHeight w:val="45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>Благотворительная помощь,</w:t>
            </w:r>
            <w:r w:rsidRPr="002F6A48">
              <w:t xml:space="preserve"> в том числе гуманитарная, поступающая в пользу налогоплательщика в виде средств или имущества (безвозмездно выполненной работы, оказанной услуги)</w:t>
            </w:r>
            <w:r w:rsidRPr="002F6A48">
              <w:rPr>
                <w:rStyle w:val="28pt"/>
                <w:rFonts w:ascii="Times New Roman" w:hAnsi="Times New Roman" w:cs="Times New Roman"/>
                <w:sz w:val="22"/>
                <w:szCs w:val="22"/>
              </w:rPr>
              <w:t xml:space="preserve"> (п. 170.7 НКУ)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169</w:t>
            </w:r>
          </w:p>
        </w:tc>
      </w:tr>
      <w:tr w:rsidR="00953F4E" w:rsidRPr="002F6A48" w:rsidTr="00953F4E">
        <w:trPr>
          <w:trHeight w:val="1565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16</w:t>
            </w:r>
          </w:p>
        </w:tc>
        <w:tc>
          <w:tcPr>
            <w:tcW w:w="9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НДФЛ не облагается сумма нецелевой благотворительной помощи, в том числе материальной, предоставляемой резидентами — юридическими или физическими лицами в пользу налогоплательщика на протяжении отчетного налогового года совокупно в размере, не превышающем предельный размер дохода, дающий право на НСЛ (в 2011 году — 1320 грн.). Благотворитель — юридическое лицо указывает сведения о предоставленных суммах нецелевой благотворительной помощи в налоговой отчетности. В случае получения нецелевой благотворительной помощи от благотворителя — физического или юридического лица налогоплательщик обязан подать годовую налоговую декларацию с указанием его суммы, если общая сумма полученной нецелевой благотворительной помощи в течение отчетного налогового года превышает 1320 грн. (п.п. 170.7.3 НКУ). Не исключен вариант отражения с признаком дохода «169» и облагаемой части такой помощи.</w:t>
            </w:r>
          </w:p>
        </w:tc>
      </w:tr>
      <w:tr w:rsidR="00953F4E" w:rsidRPr="002F6A48" w:rsidTr="00953F4E">
        <w:trPr>
          <w:trHeight w:val="25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17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t>Доходы с источником происхождения из Украины,</w:t>
            </w: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 xml:space="preserve"> выплаченные нерезиденту другим нерезидентом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9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</w:t>
            </w:r>
          </w:p>
        </w:tc>
      </w:tr>
      <w:tr w:rsidR="00953F4E" w:rsidRPr="002F6A48" w:rsidTr="00953F4E">
        <w:trPr>
          <w:trHeight w:val="45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>Сумма выплат или возмещений за счет средств профсоюза</w:t>
            </w:r>
            <w:r w:rsidRPr="002F6A48">
              <w:t xml:space="preserve"> (кроме зарплаты или других выплат и возмещений по ГП-договорам)</w:t>
            </w:r>
            <w:r w:rsidRPr="002F6A48">
              <w:rPr>
                <w:rStyle w:val="28pt"/>
                <w:rFonts w:ascii="Times New Roman" w:hAnsi="Times New Roman" w:cs="Times New Roman"/>
                <w:sz w:val="22"/>
                <w:szCs w:val="22"/>
              </w:rPr>
              <w:t xml:space="preserve"> (п.п. 165.1.47НКУ)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126(127)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167</w:t>
            </w:r>
          </w:p>
        </w:tc>
      </w:tr>
      <w:tr w:rsidR="00953F4E" w:rsidRPr="002F6A48" w:rsidTr="00953F4E">
        <w:trPr>
          <w:trHeight w:val="610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19</w:t>
            </w:r>
          </w:p>
        </w:tc>
        <w:tc>
          <w:tcPr>
            <w:tcW w:w="9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Такие выплаты не облагаются, если не превышают предельный размер дохода, дающего право на применение НСЛ (в 2011 году— 1320 грн.). Если налогооблагаемая выплата (кроме зарплаты и других выплат по ГП-договорам) осуществляется членам руководящих органов таких организаций, то ставится признак «126», если сторонним гражданам — «127».</w:t>
            </w:r>
          </w:p>
        </w:tc>
      </w:tr>
      <w:tr w:rsidR="00953F4E" w:rsidRPr="002F6A48" w:rsidTr="00953F4E">
        <w:trPr>
          <w:trHeight w:val="45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20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>Помощь на погребение</w:t>
            </w:r>
            <w:r w:rsidRPr="002F6A48">
              <w:t xml:space="preserve"> от благотворительной организации, Пенсионного фонда, профсоюза </w:t>
            </w:r>
            <w:r w:rsidRPr="002F6A48">
              <w:rPr>
                <w:rStyle w:val="28pt"/>
                <w:rFonts w:ascii="Times New Roman" w:hAnsi="Times New Roman" w:cs="Times New Roman"/>
                <w:sz w:val="22"/>
                <w:szCs w:val="22"/>
              </w:rPr>
              <w:t>(п.п. 165.1.22 НКУ)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60"/>
              <w:shd w:val="clear" w:color="auto" w:fill="auto"/>
              <w:spacing w:line="240" w:lineRule="auto"/>
              <w:ind w:left="360"/>
              <w:rPr>
                <w:sz w:val="22"/>
                <w:szCs w:val="22"/>
              </w:rPr>
            </w:pPr>
            <w:r w:rsidRPr="002F6A48">
              <w:rPr>
                <w:sz w:val="22"/>
                <w:szCs w:val="22"/>
              </w:rPr>
              <w:t>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146</w:t>
            </w:r>
          </w:p>
        </w:tc>
      </w:tr>
      <w:tr w:rsidR="00953F4E" w:rsidRPr="002F6A48" w:rsidTr="00953F4E">
        <w:trPr>
          <w:trHeight w:val="24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21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>Стоимость путевок</w:t>
            </w:r>
            <w:r w:rsidRPr="002F6A48">
              <w:t xml:space="preserve"> за счет профсоюза, Фонда соцстраха</w:t>
            </w:r>
            <w:r w:rsidRPr="002F6A48">
              <w:rPr>
                <w:rStyle w:val="28pt"/>
                <w:rFonts w:ascii="Times New Roman" w:hAnsi="Times New Roman" w:cs="Times New Roman"/>
                <w:sz w:val="22"/>
                <w:szCs w:val="22"/>
              </w:rPr>
              <w:t xml:space="preserve"> (п.п. 165.1.35 НКУ)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7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</w:tr>
      <w:tr w:rsidR="00953F4E" w:rsidRPr="002F6A48" w:rsidTr="00953F4E">
        <w:trPr>
          <w:trHeight w:val="25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85pt"/>
                <w:rFonts w:ascii="Times New Roman" w:hAnsi="Times New Roman" w:cs="Times New Roman"/>
                <w:sz w:val="22"/>
                <w:szCs w:val="22"/>
              </w:rPr>
              <w:t>Выплаты частному предпринимателю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(п.п. 165.1.36, ст. 177 и 178 НКУ)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8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</w:tr>
      <w:tr w:rsidR="00953F4E" w:rsidRPr="002F6A48" w:rsidTr="00953F4E">
        <w:trPr>
          <w:trHeight w:val="1181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22</w:t>
            </w:r>
          </w:p>
        </w:tc>
        <w:tc>
          <w:tcPr>
            <w:tcW w:w="9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Если физлицо-предприниматель получает иные доходы, нежели от осуществления предпринимательской деятельности, в пределах избранных им видов деятельности, такие доходы облагаются по общим правилам (п. 177.6 НКУ). На наш взгляд, эти доходы отражаются в ф. N° 1ДФ под соответствующим признаком дохода как обычным физлицам.До принятия НКУ ГНАУ утверждала, что такие доходы нужно отражать в ф. N° 1ДФ в составе других доходов (сейчас это признак дохода «127»),</w:t>
            </w:r>
          </w:p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Однако, похоже, их мнение изменилось: теперь они рекомендуют такие доходы отражать под зарплатным кодом «101» (см. «Вспомогательная таблица по заполнению формы N° 1ДФ» // «ВНСУ», 2011, N° 9, с. 20).</w:t>
            </w:r>
          </w:p>
        </w:tc>
      </w:tr>
      <w:tr w:rsidR="00953F4E" w:rsidRPr="002F6A48" w:rsidTr="00953F4E">
        <w:trPr>
          <w:trHeight w:val="48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80"/>
            </w:pPr>
            <w:r w:rsidRPr="002F6A48">
              <w:rPr>
                <w:rStyle w:val="23"/>
                <w:rFonts w:ascii="Times New Roman" w:hAnsi="Times New Roman" w:cs="Times New Roman"/>
                <w:sz w:val="22"/>
                <w:szCs w:val="22"/>
              </w:rPr>
              <w:t>Выплаты нотариусам, адвокатам,</w:t>
            </w:r>
            <w:r w:rsidRPr="002F6A48">
              <w:t xml:space="preserve"> другим лицам, занимающимся независимой профессиональной деятельностью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</w:tr>
      <w:tr w:rsidR="00953F4E" w:rsidRPr="002F6A48" w:rsidTr="00953F4E">
        <w:trPr>
          <w:trHeight w:val="624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23</w:t>
            </w:r>
          </w:p>
        </w:tc>
        <w:tc>
          <w:tcPr>
            <w:tcW w:w="9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Согласно пп. 49.1,65.1,178.1,178.4 НКУ частный нотариус как самозанятое лицо обязан стать на учет (зарегистрироваться) в органе ГНС по месту жительства (см. также письмо ГНАУ от 26.01.11 г. N° 1984/7/17-0717). На наш взгляд, для того чтобы не удерживать НДФЛ с выплат нотариусу, необходимо получить от него копию справки о постановке на учет по ф. № 4-ОПП.</w:t>
            </w:r>
          </w:p>
        </w:tc>
      </w:tr>
      <w:tr w:rsidR="00953F4E" w:rsidRPr="002F6A48" w:rsidTr="00953F4E">
        <w:trPr>
          <w:trHeight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Дополнительное благо от неработодателя (подарки)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40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1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>—</w:t>
            </w:r>
          </w:p>
        </w:tc>
      </w:tr>
      <w:tr w:rsidR="00953F4E" w:rsidRPr="002F6A48" w:rsidTr="00953F4E">
        <w:trPr>
          <w:trHeight w:val="1219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20"/>
              <w:shd w:val="clear" w:color="auto" w:fill="auto"/>
              <w:spacing w:before="0" w:line="240" w:lineRule="auto"/>
              <w:ind w:left="120"/>
            </w:pPr>
            <w:r w:rsidRPr="002F6A48">
              <w:t>24</w:t>
            </w:r>
          </w:p>
        </w:tc>
        <w:tc>
          <w:tcPr>
            <w:tcW w:w="9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F4E" w:rsidRPr="002F6A48" w:rsidRDefault="00953F4E" w:rsidP="002F6A48">
            <w:pPr>
              <w:pStyle w:val="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2"/>
                <w:szCs w:val="22"/>
              </w:rPr>
            </w:pPr>
            <w:r w:rsidRPr="002F6A48">
              <w:rPr>
                <w:rStyle w:val="a6"/>
                <w:rFonts w:ascii="Times New Roman" w:hAnsi="Times New Roman" w:cs="Times New Roman"/>
                <w:sz w:val="22"/>
                <w:szCs w:val="22"/>
              </w:rPr>
              <w:t>Примечание.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До принятия НКУ ГНАУ поддерживала позицию, что если лицо, подпадающее под определение налогового агента, одаривает сторонних граждан (неработников), то оно должно удержать НДФЛ по ставке </w:t>
            </w:r>
            <w:r w:rsidRPr="002F6A48">
              <w:rPr>
                <w:rStyle w:val="1pt"/>
                <w:rFonts w:ascii="Times New Roman" w:hAnsi="Times New Roman" w:cs="Times New Roman"/>
                <w:spacing w:val="0"/>
                <w:sz w:val="22"/>
                <w:szCs w:val="22"/>
              </w:rPr>
              <w:t>15%</w:t>
            </w:r>
            <w:r w:rsidRPr="002F6A48">
              <w:rPr>
                <w:rFonts w:ascii="Times New Roman" w:hAnsi="Times New Roman" w:cs="Times New Roman"/>
                <w:sz w:val="22"/>
                <w:szCs w:val="22"/>
              </w:rPr>
              <w:t xml:space="preserve"> у источника выплаты. Также в ряде писем утверждалось, что специальные правила налогообложения подарков, установленные ст. 14 Закона о налоге с доходов (аналог—ст. 174 НКУ), применяются, только если подарок дарится одним физическим лицом другому физическому лицу (письма от 24.04.08 г. N° 4079/6/17-0716, от 14.09.07 г. N° 8960/6/17-0716 (см. «БН», 2008, N° 6, с. 8), от 13.04.06 г. N° 4163/6/17-0716, от 25.06.07 г. N° 6187/6/17-0716, от 03.07.07 г. N° 13274/7/17-0717).</w:t>
            </w:r>
          </w:p>
        </w:tc>
      </w:tr>
    </w:tbl>
    <w:p w:rsidR="00953F4E" w:rsidRPr="002F6A48" w:rsidRDefault="00953F4E" w:rsidP="002F6A48">
      <w:pPr>
        <w:rPr>
          <w:rFonts w:ascii="Times New Roman" w:hAnsi="Times New Roman" w:cs="Times New Roman"/>
          <w:sz w:val="22"/>
          <w:szCs w:val="22"/>
        </w:rPr>
      </w:pPr>
    </w:p>
    <w:sectPr w:rsidR="00953F4E" w:rsidRPr="002F6A48" w:rsidSect="002F6A48">
      <w:type w:val="continuous"/>
      <w:pgSz w:w="11905" w:h="16837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5A6" w:rsidRDefault="00EC35A6" w:rsidP="003F31C1">
      <w:r>
        <w:separator/>
      </w:r>
    </w:p>
  </w:endnote>
  <w:endnote w:type="continuationSeparator" w:id="1">
    <w:p w:rsidR="00EC35A6" w:rsidRDefault="00EC35A6" w:rsidP="003F3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5A6" w:rsidRDefault="00EC35A6"/>
  </w:footnote>
  <w:footnote w:type="continuationSeparator" w:id="1">
    <w:p w:rsidR="00EC35A6" w:rsidRDefault="00EC35A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D6BF9"/>
    <w:multiLevelType w:val="multilevel"/>
    <w:tmpl w:val="AE82601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F31C1"/>
    <w:rsid w:val="00127E5C"/>
    <w:rsid w:val="002F1264"/>
    <w:rsid w:val="002F6A48"/>
    <w:rsid w:val="003F31C1"/>
    <w:rsid w:val="004C2205"/>
    <w:rsid w:val="005D3487"/>
    <w:rsid w:val="00625506"/>
    <w:rsid w:val="006C3C93"/>
    <w:rsid w:val="007142DB"/>
    <w:rsid w:val="00753B6C"/>
    <w:rsid w:val="00953F4E"/>
    <w:rsid w:val="0099413C"/>
    <w:rsid w:val="009C0D31"/>
    <w:rsid w:val="00B059CE"/>
    <w:rsid w:val="00EC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31C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31C1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3F31C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43"/>
      <w:szCs w:val="43"/>
    </w:rPr>
  </w:style>
  <w:style w:type="character" w:customStyle="1" w:styleId="2">
    <w:name w:val="Основной текст (2)_"/>
    <w:basedOn w:val="a0"/>
    <w:link w:val="20"/>
    <w:rsid w:val="003F31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Заголовок №2_"/>
    <w:basedOn w:val="a0"/>
    <w:link w:val="22"/>
    <w:rsid w:val="003F31C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11"/>
    <w:rsid w:val="003F31C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a5">
    <w:name w:val="Основной текст + Курсив"/>
    <w:basedOn w:val="a4"/>
    <w:rsid w:val="003F31C1"/>
    <w:rPr>
      <w:i/>
      <w:iCs/>
      <w:spacing w:val="0"/>
      <w:w w:val="100"/>
      <w:sz w:val="17"/>
      <w:szCs w:val="17"/>
    </w:rPr>
  </w:style>
  <w:style w:type="character" w:customStyle="1" w:styleId="3">
    <w:name w:val="Основной текст (3)_"/>
    <w:basedOn w:val="a0"/>
    <w:link w:val="30"/>
    <w:rsid w:val="003F31C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basedOn w:val="3"/>
    <w:rsid w:val="003F31C1"/>
    <w:rPr>
      <w:i/>
      <w:iCs/>
      <w:spacing w:val="0"/>
      <w:w w:val="100"/>
      <w:sz w:val="17"/>
      <w:szCs w:val="17"/>
    </w:rPr>
  </w:style>
  <w:style w:type="character" w:customStyle="1" w:styleId="7">
    <w:name w:val="Основной текст (7)_"/>
    <w:basedOn w:val="a0"/>
    <w:link w:val="70"/>
    <w:rsid w:val="003F31C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4">
    <w:name w:val="Основной текст (4)_"/>
    <w:basedOn w:val="a0"/>
    <w:link w:val="40"/>
    <w:rsid w:val="003F31C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6">
    <w:name w:val="Основной текст + Полужирный"/>
    <w:basedOn w:val="a4"/>
    <w:rsid w:val="003F31C1"/>
    <w:rPr>
      <w:b/>
      <w:bCs/>
      <w:spacing w:val="0"/>
      <w:w w:val="100"/>
      <w:sz w:val="17"/>
      <w:szCs w:val="17"/>
    </w:rPr>
  </w:style>
  <w:style w:type="character" w:customStyle="1" w:styleId="a7">
    <w:name w:val="Основной текст + Курсив"/>
    <w:basedOn w:val="a4"/>
    <w:rsid w:val="003F31C1"/>
    <w:rPr>
      <w:i/>
      <w:iCs/>
      <w:spacing w:val="0"/>
      <w:w w:val="100"/>
      <w:sz w:val="17"/>
      <w:szCs w:val="17"/>
    </w:rPr>
  </w:style>
  <w:style w:type="character" w:customStyle="1" w:styleId="6">
    <w:name w:val="Основной текст (6)_"/>
    <w:basedOn w:val="a0"/>
    <w:link w:val="60"/>
    <w:rsid w:val="003F31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3F31C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0pt">
    <w:name w:val="Основной текст (5) + Полужирный;Интервал 0 pt"/>
    <w:basedOn w:val="5"/>
    <w:rsid w:val="003F31C1"/>
    <w:rPr>
      <w:b/>
      <w:bCs/>
      <w:spacing w:val="-10"/>
    </w:rPr>
  </w:style>
  <w:style w:type="character" w:customStyle="1" w:styleId="-1pt">
    <w:name w:val="Основной текст + Интервал -1 pt"/>
    <w:basedOn w:val="a4"/>
    <w:rsid w:val="003F31C1"/>
    <w:rPr>
      <w:spacing w:val="-20"/>
    </w:rPr>
  </w:style>
  <w:style w:type="paragraph" w:customStyle="1" w:styleId="10">
    <w:name w:val="Заголовок №1"/>
    <w:basedOn w:val="a"/>
    <w:link w:val="1"/>
    <w:rsid w:val="003F31C1"/>
    <w:pPr>
      <w:shd w:val="clear" w:color="auto" w:fill="FFFFFF"/>
      <w:spacing w:after="60" w:line="0" w:lineRule="atLeast"/>
      <w:jc w:val="both"/>
      <w:outlineLvl w:val="0"/>
    </w:pPr>
    <w:rPr>
      <w:rFonts w:ascii="Arial Narrow" w:eastAsia="Arial Narrow" w:hAnsi="Arial Narrow" w:cs="Arial Narrow"/>
      <w:b/>
      <w:bCs/>
      <w:sz w:val="43"/>
      <w:szCs w:val="43"/>
    </w:rPr>
  </w:style>
  <w:style w:type="paragraph" w:customStyle="1" w:styleId="20">
    <w:name w:val="Основной текст (2)"/>
    <w:basedOn w:val="a"/>
    <w:link w:val="2"/>
    <w:rsid w:val="003F31C1"/>
    <w:pPr>
      <w:shd w:val="clear" w:color="auto" w:fill="FFFFFF"/>
      <w:spacing w:before="360" w:line="26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rsid w:val="003F31C1"/>
    <w:pPr>
      <w:shd w:val="clear" w:color="auto" w:fill="FFFFFF"/>
      <w:spacing w:line="269" w:lineRule="exact"/>
      <w:outlineLvl w:val="1"/>
    </w:pPr>
    <w:rPr>
      <w:rFonts w:ascii="Trebuchet MS" w:eastAsia="Trebuchet MS" w:hAnsi="Trebuchet MS" w:cs="Trebuchet MS"/>
      <w:b/>
      <w:bCs/>
      <w:sz w:val="29"/>
      <w:szCs w:val="29"/>
    </w:rPr>
  </w:style>
  <w:style w:type="paragraph" w:customStyle="1" w:styleId="11">
    <w:name w:val="Основной текст1"/>
    <w:basedOn w:val="a"/>
    <w:link w:val="a4"/>
    <w:rsid w:val="003F31C1"/>
    <w:pPr>
      <w:shd w:val="clear" w:color="auto" w:fill="FFFFFF"/>
      <w:spacing w:line="216" w:lineRule="exact"/>
      <w:jc w:val="both"/>
    </w:pPr>
    <w:rPr>
      <w:rFonts w:ascii="Arial Narrow" w:eastAsia="Arial Narrow" w:hAnsi="Arial Narrow" w:cs="Arial Narrow"/>
      <w:sz w:val="17"/>
      <w:szCs w:val="17"/>
    </w:rPr>
  </w:style>
  <w:style w:type="paragraph" w:customStyle="1" w:styleId="30">
    <w:name w:val="Основной текст (3)"/>
    <w:basedOn w:val="a"/>
    <w:link w:val="3"/>
    <w:rsid w:val="003F31C1"/>
    <w:pPr>
      <w:shd w:val="clear" w:color="auto" w:fill="FFFFFF"/>
      <w:spacing w:line="216" w:lineRule="exact"/>
      <w:ind w:firstLine="280"/>
      <w:jc w:val="both"/>
    </w:pPr>
    <w:rPr>
      <w:rFonts w:ascii="Arial Narrow" w:eastAsia="Arial Narrow" w:hAnsi="Arial Narrow" w:cs="Arial Narrow"/>
      <w:i/>
      <w:iCs/>
      <w:sz w:val="17"/>
      <w:szCs w:val="17"/>
    </w:rPr>
  </w:style>
  <w:style w:type="paragraph" w:customStyle="1" w:styleId="70">
    <w:name w:val="Основной текст (7)"/>
    <w:basedOn w:val="a"/>
    <w:link w:val="7"/>
    <w:rsid w:val="003F31C1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pacing w:val="-10"/>
      <w:sz w:val="25"/>
      <w:szCs w:val="25"/>
    </w:rPr>
  </w:style>
  <w:style w:type="paragraph" w:customStyle="1" w:styleId="40">
    <w:name w:val="Основной текст (4)"/>
    <w:basedOn w:val="a"/>
    <w:link w:val="4"/>
    <w:rsid w:val="003F31C1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b/>
      <w:bCs/>
      <w:sz w:val="17"/>
      <w:szCs w:val="17"/>
    </w:rPr>
  </w:style>
  <w:style w:type="paragraph" w:customStyle="1" w:styleId="60">
    <w:name w:val="Основной текст (6)"/>
    <w:basedOn w:val="a"/>
    <w:link w:val="6"/>
    <w:rsid w:val="003F31C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3F31C1"/>
    <w:pPr>
      <w:shd w:val="clear" w:color="auto" w:fill="FFFFFF"/>
      <w:spacing w:line="192" w:lineRule="exact"/>
    </w:pPr>
    <w:rPr>
      <w:rFonts w:ascii="Arial Narrow" w:eastAsia="Arial Narrow" w:hAnsi="Arial Narrow" w:cs="Arial Narrow"/>
      <w:i/>
      <w:iCs/>
      <w:sz w:val="17"/>
      <w:szCs w:val="17"/>
    </w:rPr>
  </w:style>
  <w:style w:type="character" w:customStyle="1" w:styleId="58pt">
    <w:name w:val="Основной текст (5) + 8 pt;Полужирный"/>
    <w:basedOn w:val="5"/>
    <w:rsid w:val="0099413C"/>
    <w:rPr>
      <w:b/>
      <w:bCs/>
      <w:sz w:val="16"/>
      <w:szCs w:val="16"/>
    </w:rPr>
  </w:style>
  <w:style w:type="character" w:customStyle="1" w:styleId="9">
    <w:name w:val="Основной текст (9)_"/>
    <w:basedOn w:val="a0"/>
    <w:link w:val="90"/>
    <w:rsid w:val="0099413C"/>
    <w:rPr>
      <w:rFonts w:ascii="Arial Narrow" w:eastAsia="Arial Narrow" w:hAnsi="Arial Narrow" w:cs="Arial Narrow"/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9413C"/>
    <w:rPr>
      <w:rFonts w:ascii="Arial Narrow" w:eastAsia="Arial Narrow" w:hAnsi="Arial Narrow" w:cs="Arial Narrow"/>
      <w:sz w:val="8"/>
      <w:szCs w:val="8"/>
      <w:shd w:val="clear" w:color="auto" w:fill="FFFFFF"/>
    </w:rPr>
  </w:style>
  <w:style w:type="character" w:customStyle="1" w:styleId="41">
    <w:name w:val="Основной текст (4) + Полужирный"/>
    <w:basedOn w:val="4"/>
    <w:rsid w:val="0099413C"/>
    <w:rPr>
      <w:b/>
      <w:bCs/>
      <w:sz w:val="16"/>
      <w:szCs w:val="16"/>
    </w:rPr>
  </w:style>
  <w:style w:type="character" w:customStyle="1" w:styleId="32">
    <w:name w:val="Основной текст (3) + Не полужирный;Курсив"/>
    <w:basedOn w:val="3"/>
    <w:rsid w:val="0099413C"/>
    <w:rPr>
      <w:b/>
      <w:bCs/>
      <w:i/>
      <w:iCs/>
      <w:w w:val="100"/>
      <w:sz w:val="16"/>
      <w:szCs w:val="16"/>
    </w:rPr>
  </w:style>
  <w:style w:type="character" w:customStyle="1" w:styleId="47pt">
    <w:name w:val="Основной текст (4) + 7 pt"/>
    <w:basedOn w:val="4"/>
    <w:rsid w:val="0099413C"/>
    <w:rPr>
      <w:sz w:val="14"/>
      <w:szCs w:val="14"/>
    </w:rPr>
  </w:style>
  <w:style w:type="paragraph" w:customStyle="1" w:styleId="90">
    <w:name w:val="Основной текст (9)"/>
    <w:basedOn w:val="a"/>
    <w:link w:val="9"/>
    <w:rsid w:val="0099413C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8"/>
      <w:szCs w:val="8"/>
    </w:rPr>
  </w:style>
  <w:style w:type="paragraph" w:customStyle="1" w:styleId="80">
    <w:name w:val="Основной текст (8)"/>
    <w:basedOn w:val="a"/>
    <w:link w:val="8"/>
    <w:rsid w:val="0099413C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8"/>
      <w:szCs w:val="8"/>
    </w:rPr>
  </w:style>
  <w:style w:type="character" w:customStyle="1" w:styleId="49pt">
    <w:name w:val="Основной текст (4) + 9 pt"/>
    <w:basedOn w:val="4"/>
    <w:rsid w:val="00B059CE"/>
    <w:rPr>
      <w:w w:val="100"/>
      <w:sz w:val="18"/>
      <w:szCs w:val="18"/>
    </w:rPr>
  </w:style>
  <w:style w:type="character" w:customStyle="1" w:styleId="49pt0">
    <w:name w:val="Основной текст (4) + 9 pt;Не полужирный;Курсив"/>
    <w:basedOn w:val="4"/>
    <w:rsid w:val="00B059CE"/>
    <w:rPr>
      <w:b/>
      <w:bCs/>
      <w:i/>
      <w:iCs/>
      <w:w w:val="100"/>
      <w:sz w:val="18"/>
      <w:szCs w:val="18"/>
    </w:rPr>
  </w:style>
  <w:style w:type="character" w:customStyle="1" w:styleId="100">
    <w:name w:val="Основной текст (10)_"/>
    <w:basedOn w:val="a0"/>
    <w:link w:val="101"/>
    <w:rsid w:val="00B059CE"/>
    <w:rPr>
      <w:rFonts w:ascii="Arial Narrow" w:eastAsia="Arial Narrow" w:hAnsi="Arial Narrow" w:cs="Arial Narrow"/>
      <w:sz w:val="8"/>
      <w:szCs w:val="8"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B059CE"/>
    <w:rPr>
      <w:rFonts w:ascii="Arial Narrow" w:eastAsia="Arial Narrow" w:hAnsi="Arial Narrow" w:cs="Arial Narrow"/>
      <w:b/>
      <w:bCs/>
      <w:i/>
      <w:iCs/>
      <w:spacing w:val="0"/>
      <w:sz w:val="18"/>
      <w:szCs w:val="18"/>
    </w:rPr>
  </w:style>
  <w:style w:type="character" w:customStyle="1" w:styleId="68pt">
    <w:name w:val="Основной текст (6) + 8 pt;Полужирный;Не курсив"/>
    <w:basedOn w:val="6"/>
    <w:rsid w:val="00B059CE"/>
    <w:rPr>
      <w:rFonts w:ascii="Arial Narrow" w:eastAsia="Arial Narrow" w:hAnsi="Arial Narrow" w:cs="Arial Narrow"/>
      <w:b/>
      <w:bCs/>
      <w:i/>
      <w:iCs/>
      <w:spacing w:val="0"/>
      <w:w w:val="100"/>
      <w:sz w:val="16"/>
      <w:szCs w:val="16"/>
    </w:rPr>
  </w:style>
  <w:style w:type="character" w:customStyle="1" w:styleId="58pt0">
    <w:name w:val="Основной текст (5) + 8 pt"/>
    <w:basedOn w:val="5"/>
    <w:rsid w:val="00B059CE"/>
    <w:rPr>
      <w:w w:val="100"/>
      <w:sz w:val="16"/>
      <w:szCs w:val="16"/>
    </w:rPr>
  </w:style>
  <w:style w:type="character" w:customStyle="1" w:styleId="51">
    <w:name w:val="Основной текст (5) + Не полужирный;Курсив"/>
    <w:basedOn w:val="5"/>
    <w:rsid w:val="00B059CE"/>
    <w:rPr>
      <w:b/>
      <w:bCs/>
      <w:i/>
      <w:iCs/>
      <w:sz w:val="18"/>
      <w:szCs w:val="18"/>
    </w:rPr>
  </w:style>
  <w:style w:type="paragraph" w:customStyle="1" w:styleId="101">
    <w:name w:val="Основной текст (10)"/>
    <w:basedOn w:val="a"/>
    <w:link w:val="100"/>
    <w:rsid w:val="00B059CE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8"/>
      <w:szCs w:val="8"/>
    </w:rPr>
  </w:style>
  <w:style w:type="character" w:customStyle="1" w:styleId="23">
    <w:name w:val="Основной текст (2) + Полужирный"/>
    <w:basedOn w:val="2"/>
    <w:rsid w:val="00953F4E"/>
    <w:rPr>
      <w:rFonts w:ascii="Arial Narrow" w:eastAsia="Arial Narrow" w:hAnsi="Arial Narrow" w:cs="Arial Narrow"/>
      <w:b/>
      <w:bCs/>
      <w:w w:val="100"/>
      <w:sz w:val="17"/>
      <w:szCs w:val="17"/>
    </w:rPr>
  </w:style>
  <w:style w:type="character" w:customStyle="1" w:styleId="42">
    <w:name w:val="Основной текст (4) + Не полужирный"/>
    <w:basedOn w:val="4"/>
    <w:rsid w:val="00953F4E"/>
    <w:rPr>
      <w:b/>
      <w:bCs/>
      <w:w w:val="100"/>
    </w:rPr>
  </w:style>
  <w:style w:type="character" w:customStyle="1" w:styleId="1pt">
    <w:name w:val="Основной текст + Интервал 1 pt"/>
    <w:basedOn w:val="a4"/>
    <w:rsid w:val="00953F4E"/>
    <w:rPr>
      <w:spacing w:val="20"/>
      <w:sz w:val="16"/>
      <w:szCs w:val="16"/>
    </w:rPr>
  </w:style>
  <w:style w:type="character" w:customStyle="1" w:styleId="28pt">
    <w:name w:val="Основной текст (2) + 8 pt;Курсив"/>
    <w:basedOn w:val="2"/>
    <w:rsid w:val="00953F4E"/>
    <w:rPr>
      <w:rFonts w:ascii="Arial Narrow" w:eastAsia="Arial Narrow" w:hAnsi="Arial Narrow" w:cs="Arial Narrow"/>
      <w:i/>
      <w:iCs/>
      <w:w w:val="100"/>
      <w:sz w:val="16"/>
      <w:szCs w:val="16"/>
    </w:rPr>
  </w:style>
  <w:style w:type="character" w:customStyle="1" w:styleId="85pt">
    <w:name w:val="Основной текст + 8;5 pt;Полужирный;Не курсив"/>
    <w:basedOn w:val="a4"/>
    <w:rsid w:val="00953F4E"/>
    <w:rPr>
      <w:b/>
      <w:bCs/>
      <w:i/>
      <w:iCs/>
    </w:rPr>
  </w:style>
  <w:style w:type="character" w:customStyle="1" w:styleId="110">
    <w:name w:val="Основной текст (11)_"/>
    <w:basedOn w:val="a0"/>
    <w:link w:val="111"/>
    <w:rsid w:val="00953F4E"/>
    <w:rPr>
      <w:rFonts w:ascii="Arial Narrow" w:eastAsia="Arial Narrow" w:hAnsi="Arial Narrow" w:cs="Arial Narrow"/>
      <w:sz w:val="8"/>
      <w:szCs w:val="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953F4E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SamLab.ws</cp:lastModifiedBy>
  <cp:revision>4</cp:revision>
  <dcterms:created xsi:type="dcterms:W3CDTF">2011-04-05T10:11:00Z</dcterms:created>
  <dcterms:modified xsi:type="dcterms:W3CDTF">2011-04-12T15:17:00Z</dcterms:modified>
</cp:coreProperties>
</file>